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0E6" w:rsidRDefault="00D830E6" w:rsidP="00D830E6">
      <w:pPr>
        <w:pStyle w:val="CRCoverPage"/>
        <w:tabs>
          <w:tab w:val="right" w:pos="9639"/>
        </w:tabs>
        <w:spacing w:after="0"/>
        <w:rPr>
          <w:b/>
          <w:i/>
          <w:noProof/>
          <w:sz w:val="28"/>
        </w:rPr>
      </w:pPr>
      <w:r>
        <w:rPr>
          <w:b/>
          <w:noProof/>
          <w:sz w:val="24"/>
        </w:rPr>
        <w:t>3GPP TSG-WG RAN4 Meeting #84bis</w:t>
      </w:r>
      <w:r>
        <w:rPr>
          <w:b/>
          <w:i/>
          <w:noProof/>
          <w:sz w:val="28"/>
        </w:rPr>
        <w:tab/>
        <w:t>R4-171</w:t>
      </w:r>
      <w:r w:rsidR="000251B6">
        <w:rPr>
          <w:b/>
          <w:i/>
          <w:noProof/>
          <w:sz w:val="28"/>
        </w:rPr>
        <w:t>1376</w:t>
      </w:r>
    </w:p>
    <w:p w:rsidR="00D830E6" w:rsidRDefault="00D830E6" w:rsidP="00D830E6">
      <w:pPr>
        <w:pStyle w:val="CRCoverPage"/>
        <w:outlineLvl w:val="0"/>
        <w:rPr>
          <w:b/>
          <w:noProof/>
          <w:sz w:val="24"/>
        </w:rPr>
      </w:pPr>
      <w:r>
        <w:rPr>
          <w:b/>
          <w:noProof/>
          <w:sz w:val="24"/>
        </w:rPr>
        <w:t>Dubrovnik, Croatia, 8</w:t>
      </w:r>
      <w:r>
        <w:rPr>
          <w:b/>
          <w:noProof/>
          <w:sz w:val="24"/>
          <w:vertAlign w:val="superscript"/>
        </w:rPr>
        <w:t>th</w:t>
      </w:r>
      <w:r>
        <w:rPr>
          <w:b/>
          <w:noProof/>
          <w:sz w:val="24"/>
        </w:rPr>
        <w:t xml:space="preserve"> – 12</w:t>
      </w:r>
      <w:r>
        <w:rPr>
          <w:b/>
          <w:noProof/>
          <w:sz w:val="24"/>
          <w:vertAlign w:val="superscript"/>
        </w:rPr>
        <w:t>th</w:t>
      </w:r>
      <w:r>
        <w:rPr>
          <w:b/>
          <w:noProof/>
          <w:sz w:val="24"/>
        </w:rPr>
        <w:t xml:space="preserve"> October,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D2C86" w:rsidRPr="003D2C86">
        <w:rPr>
          <w:sz w:val="22"/>
        </w:rPr>
        <w:t xml:space="preserve">Nokia, </w:t>
      </w:r>
      <w:r w:rsidR="00FA78FE">
        <w:rPr>
          <w:sz w:val="22"/>
        </w:rPr>
        <w:t>Nokia</w:t>
      </w:r>
      <w:r w:rsidR="003D2C86" w:rsidRPr="003D2C86">
        <w:rPr>
          <w:sz w:val="22"/>
        </w:rPr>
        <w:t xml:space="preserve"> Shanghai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44EC2" w:rsidRPr="00644EC2">
        <w:rPr>
          <w:sz w:val="22"/>
        </w:rPr>
        <w:t xml:space="preserve">Sub-carrier and resource block </w:t>
      </w:r>
      <w:r w:rsidR="00164BA3" w:rsidRPr="00644EC2">
        <w:rPr>
          <w:sz w:val="22"/>
        </w:rPr>
        <w:t>alignment</w:t>
      </w:r>
      <w:r w:rsidR="00644EC2" w:rsidRPr="00644EC2">
        <w:rPr>
          <w:sz w:val="22"/>
        </w:rPr>
        <w:t xml:space="preserve"> in NR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44EC2" w:rsidRPr="00644EC2">
        <w:rPr>
          <w:b/>
          <w:sz w:val="22"/>
        </w:rPr>
        <w:t>9.3.</w:t>
      </w:r>
      <w:r w:rsidR="005615B3">
        <w:rPr>
          <w:b/>
          <w:sz w:val="22"/>
        </w:rPr>
        <w:t>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55BFC" w:rsidRPr="00C67A20">
        <w:rPr>
          <w:sz w:val="22"/>
        </w:rPr>
        <w:t>Discussion</w:t>
      </w:r>
    </w:p>
    <w:p w:rsidR="0043450E" w:rsidRDefault="0043450E" w:rsidP="0043450E">
      <w:pPr>
        <w:pStyle w:val="Heading1"/>
      </w:pPr>
      <w:r>
        <w:t>1</w:t>
      </w:r>
      <w:r>
        <w:tab/>
        <w:t>Introduction</w:t>
      </w:r>
    </w:p>
    <w:p w:rsidR="00D830E6" w:rsidRDefault="006B5E38" w:rsidP="0043450E">
      <w:r>
        <w:t xml:space="preserve">This document discusses the subcarrier and resource block alignment in NR. </w:t>
      </w:r>
    </w:p>
    <w:p w:rsidR="0043450E" w:rsidRPr="00D97FE6" w:rsidRDefault="00D830E6" w:rsidP="0043450E">
      <w:r w:rsidRPr="00D830E6">
        <w:t xml:space="preserve">During the online discussion in RAN4 NR AH#3 meeting, different understandings on </w:t>
      </w:r>
      <w:r w:rsidR="00604A73">
        <w:t xml:space="preserve">the </w:t>
      </w:r>
      <w:r w:rsidRPr="00D830E6">
        <w:t xml:space="preserve">nested PRB grid structure for different SCS were observed among companies. In this paper, we discuss our understanding </w:t>
      </w:r>
      <w:r>
        <w:t xml:space="preserve">as already presented in [1] </w:t>
      </w:r>
      <w:r w:rsidRPr="00D830E6">
        <w:t>and propose to send LS to RAN1</w:t>
      </w:r>
      <w:r w:rsidR="00B34B7A">
        <w:t>/2</w:t>
      </w:r>
      <w:r w:rsidRPr="00D830E6">
        <w:t xml:space="preserve"> to enable symmetric PRB allocation if it is not supported yet</w:t>
      </w:r>
      <w:r w:rsidR="00FF7AAC">
        <w:t xml:space="preserve"> in RAN1</w:t>
      </w:r>
      <w:r w:rsidR="00B34B7A">
        <w:t>/2</w:t>
      </w:r>
      <w:r w:rsidRPr="00D830E6">
        <w:t>.</w:t>
      </w:r>
    </w:p>
    <w:p w:rsidR="0043450E" w:rsidRDefault="0043450E" w:rsidP="0043450E">
      <w:pPr>
        <w:pStyle w:val="Heading1"/>
      </w:pPr>
      <w:bookmarkStart w:id="0" w:name="_Toc286177644"/>
      <w:r>
        <w:t>2</w:t>
      </w:r>
      <w:r>
        <w:tab/>
        <w:t>Discussion</w:t>
      </w:r>
    </w:p>
    <w:p w:rsidR="006B5E38" w:rsidRDefault="00571803" w:rsidP="00AF2233">
      <w:r>
        <w:t>RAN1 has agreed that in NR, the #0 subcarriers of different spacings will align</w:t>
      </w:r>
      <w:r w:rsidR="00D830E6">
        <w:t xml:space="preserve"> [2]</w:t>
      </w:r>
      <w:r>
        <w:t>. For each channel bandwidth, the lowest specified subcarrier spacing is used as the reference, and all higher SCS grids align to that.</w:t>
      </w:r>
    </w:p>
    <w:p w:rsidR="006B5E38" w:rsidRDefault="00E008DD" w:rsidP="00AF2233">
      <w:r>
        <w:t>Figure 1 shows how the subcarriers are aligned between different subcarrier spacings:</w:t>
      </w:r>
    </w:p>
    <w:p w:rsidR="006B5E38" w:rsidRDefault="006B5E38" w:rsidP="006B5E38">
      <w:pPr>
        <w:jc w:val="center"/>
      </w:pPr>
      <w:r>
        <w:object w:dxaOrig="8306" w:dyaOrig="1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96.75pt" o:ole="">
            <v:imagedata r:id="rId6" o:title=""/>
          </v:shape>
          <o:OLEObject Type="Embed" ProgID="Visio.Drawing.11" ShapeID="_x0000_i1025" DrawAspect="Content" ObjectID="_1568501176" r:id="rId7"/>
        </w:object>
      </w:r>
    </w:p>
    <w:p w:rsidR="006B5E38" w:rsidRPr="006B5E38" w:rsidRDefault="006B5E38" w:rsidP="006B5E38">
      <w:pPr>
        <w:jc w:val="center"/>
        <w:rPr>
          <w:b/>
        </w:rPr>
      </w:pPr>
      <w:r>
        <w:rPr>
          <w:b/>
        </w:rPr>
        <w:t>Figure 1: Resource blocks for 15/30/60 kHz SCS with SC#0 of the lowest RB aligned</w:t>
      </w:r>
    </w:p>
    <w:p w:rsidR="00E008DD" w:rsidRDefault="00E008DD" w:rsidP="00AF2233">
      <w:r>
        <w:t>In standalone NR, one of the subcarriers is on the DC. This means that the signal is not symmetric in frequency domain, so there is always 1 subcarrier more below the center frequency, than there is above the center frequency. Figure 2 can be used to illustrate this.</w:t>
      </w:r>
    </w:p>
    <w:p w:rsidR="00E008DD" w:rsidRDefault="00E008DD" w:rsidP="00E008DD">
      <w:pPr>
        <w:jc w:val="center"/>
      </w:pPr>
      <w:r>
        <w:object w:dxaOrig="8306" w:dyaOrig="1928">
          <v:shape id="_x0000_i1026" type="#_x0000_t75" style="width:414.75pt;height:96.75pt" o:ole="">
            <v:imagedata r:id="rId8" o:title=""/>
          </v:shape>
          <o:OLEObject Type="Embed" ProgID="Visio.Drawing.11" ShapeID="_x0000_i1026" DrawAspect="Content" ObjectID="_1568501177" r:id="rId9"/>
        </w:object>
      </w:r>
    </w:p>
    <w:p w:rsidR="00E008DD" w:rsidRPr="006B5E38" w:rsidRDefault="00E008DD" w:rsidP="00E008DD">
      <w:pPr>
        <w:jc w:val="center"/>
        <w:rPr>
          <w:b/>
        </w:rPr>
      </w:pPr>
      <w:r>
        <w:rPr>
          <w:b/>
        </w:rPr>
        <w:t>Figure 2: DC subcarrier and the asymmetry</w:t>
      </w:r>
    </w:p>
    <w:p w:rsidR="00E008DD" w:rsidRDefault="00E008DD" w:rsidP="00AF2233">
      <w:r>
        <w:t>It follows from these agreements, that guard band on the left hand side of the channel decreases, while on the right hand side it increases.</w:t>
      </w:r>
    </w:p>
    <w:p w:rsidR="006B5E38" w:rsidRDefault="00E008DD" w:rsidP="00AF2233">
      <w:r>
        <w:lastRenderedPageBreak/>
        <w:t xml:space="preserve">Typically the tentatively agreed spectrum utilization numbers decrease when the subcarrier spacing increases. For example, for 5 MHz channel bandwidth, the maximum RB amount is 25 </w:t>
      </w:r>
      <w:r w:rsidR="00D273B2">
        <w:t xml:space="preserve">RB </w:t>
      </w:r>
      <w:r>
        <w:t>for 15 kHz spacing</w:t>
      </w:r>
      <w:r w:rsidR="00D273B2">
        <w:t>, while with 30 kHz spacing only 11 RBs is used. Figure 3 shows the possible alignments and the resulting guard bands.</w:t>
      </w:r>
    </w:p>
    <w:p w:rsidR="00D273B2" w:rsidRDefault="00D273B2" w:rsidP="00D273B2">
      <w:pPr>
        <w:jc w:val="center"/>
      </w:pPr>
      <w:r>
        <w:object w:dxaOrig="9429" w:dyaOrig="2909">
          <v:shape id="_x0000_i1027" type="#_x0000_t75" style="width:471.75pt;height:145.5pt" o:ole="">
            <v:imagedata r:id="rId10" o:title=""/>
          </v:shape>
          <o:OLEObject Type="Embed" ProgID="Visio.Drawing.11" ShapeID="_x0000_i1027" DrawAspect="Content" ObjectID="_1568501178" r:id="rId11"/>
        </w:object>
      </w:r>
    </w:p>
    <w:p w:rsidR="00D273B2" w:rsidRPr="00D273B2" w:rsidRDefault="00D273B2" w:rsidP="00D273B2">
      <w:pPr>
        <w:jc w:val="center"/>
        <w:rPr>
          <w:b/>
        </w:rPr>
      </w:pPr>
      <w:r>
        <w:rPr>
          <w:b/>
        </w:rPr>
        <w:t>Figure 3: Possible RB alignments for 15/30 kHz SCS</w:t>
      </w:r>
    </w:p>
    <w:p w:rsidR="00D830E6" w:rsidRDefault="00D830E6" w:rsidP="00D830E6">
      <w:r>
        <w:t>In the meantime, RAN1 in [3] replied to RAN4 LS [4] regarding the spectrum utilization</w:t>
      </w:r>
      <w:r w:rsidR="00B55E83">
        <w:t xml:space="preserve"> that </w:t>
      </w:r>
      <w:r>
        <w:t>RAN1 spec enables the largest number of RBs in the carrier bandwidth.</w:t>
      </w:r>
    </w:p>
    <w:p w:rsidR="00D830E6" w:rsidRDefault="00D830E6" w:rsidP="006F79FD">
      <w:pPr>
        <w:ind w:left="284"/>
      </w:pPr>
      <w:r>
        <w:rPr>
          <w:rFonts w:hint="eastAsia"/>
        </w:rPr>
        <w:t>•</w:t>
      </w:r>
      <w:r>
        <w:tab/>
      </w:r>
      <w:r w:rsidRPr="006F79FD">
        <w:rPr>
          <w:i/>
        </w:rPr>
        <w:t>From network perspective, BWP configuration in RAN1 specification allows different UEs to operate on different parts of a carrier bandwidth, and can be used to enable a BS to allocate all PRBs i.e. the largest number of RBs that mathematically fit within the carrier bandwidth, irrespective of the BS minimum requirement defined by RAN4…….</w:t>
      </w:r>
    </w:p>
    <w:p w:rsidR="00D830E6" w:rsidRDefault="00B55E83" w:rsidP="00D830E6">
      <w:r>
        <w:t>This could be misunderstood</w:t>
      </w:r>
      <w:r w:rsidR="00D273B2">
        <w:t xml:space="preserve"> that RAN1 only allows the first 30 kHz SCS position</w:t>
      </w:r>
      <w:r>
        <w:t xml:space="preserve"> in Figure 3 to </w:t>
      </w:r>
      <w:r w:rsidR="007270B8">
        <w:t>allocate</w:t>
      </w:r>
      <w:r>
        <w:t xml:space="preserve"> as many PRBs as possible</w:t>
      </w:r>
      <w:r w:rsidR="00D273B2">
        <w:t xml:space="preserve">, but clearly the reduced guard band will force </w:t>
      </w:r>
      <w:r w:rsidR="0075088D">
        <w:t xml:space="preserve">in the uplink for UE </w:t>
      </w:r>
      <w:r w:rsidR="00D273B2">
        <w:t xml:space="preserve">to use more MPR for 30 kHz. </w:t>
      </w:r>
      <w:r w:rsidR="00602E35">
        <w:t xml:space="preserve">Therefore, it has been already assumed in MPR simualtions to use PRB allocation as symmetric as possible without considering an alignment at PRB#0 but only at SC#0. </w:t>
      </w:r>
      <w:r w:rsidR="0075088D">
        <w:t>Also in the downlink BS is forced to meet the emission mask and blocking requirement with narrower guard band, which will tighten the baseband filter requirement.</w:t>
      </w:r>
    </w:p>
    <w:p w:rsidR="00B55E83" w:rsidRDefault="00B55E83" w:rsidP="00B55E83">
      <w:r>
        <w:t xml:space="preserve">Our understanding is that RAN1 only enables such </w:t>
      </w:r>
      <w:r w:rsidR="0075088D">
        <w:t xml:space="preserve">full </w:t>
      </w:r>
      <w:r>
        <w:t>PRB grid allocation as a possible configuration; whether to use it is up to RAN4 decision.</w:t>
      </w:r>
    </w:p>
    <w:p w:rsidR="006B5E38" w:rsidRDefault="0024064A" w:rsidP="00AF2233">
      <w:r>
        <w:t>It is recommended that out of the possible RB grid positions for non-reference SCS, the one that has the most symmetric guard bands is selected, and the position is fixed for MPR evaluations. This alignment will enable to transmit the edge RBs at maximum power for all subcarrier spacings – a criteria that was important in the spectrum utilization discussion.</w:t>
      </w:r>
    </w:p>
    <w:p w:rsidR="00B55E83" w:rsidRDefault="00164BA3" w:rsidP="00AF2233">
      <w:r w:rsidRPr="0075088D">
        <w:t>To</w:t>
      </w:r>
      <w:r w:rsidR="0075088D" w:rsidRPr="0075088D">
        <w:t xml:space="preserve"> achieve this, PRB</w:t>
      </w:r>
      <w:r>
        <w:t xml:space="preserve"> reference (such as PRB#0)</w:t>
      </w:r>
      <w:r w:rsidR="0075088D" w:rsidRPr="0075088D">
        <w:t xml:space="preserve"> </w:t>
      </w:r>
      <w:r w:rsidR="0075088D">
        <w:t xml:space="preserve">for each SCS </w:t>
      </w:r>
      <w:r w:rsidR="0075088D" w:rsidRPr="0075088D">
        <w:t xml:space="preserve">should start </w:t>
      </w:r>
      <w:r w:rsidR="0075088D">
        <w:t xml:space="preserve">independently </w:t>
      </w:r>
      <w:r w:rsidR="0075088D" w:rsidRPr="0075088D">
        <w:t xml:space="preserve">from anywhere </w:t>
      </w:r>
      <w:r w:rsidR="0075088D">
        <w:t xml:space="preserve">as far as SC#0 </w:t>
      </w:r>
      <w:r>
        <w:t>alignment</w:t>
      </w:r>
      <w:r w:rsidR="0075088D">
        <w:t xml:space="preserve"> in [1] is not violated</w:t>
      </w:r>
      <w:r w:rsidR="0075088D" w:rsidRPr="0075088D">
        <w:t>.</w:t>
      </w:r>
      <w:r w:rsidR="0075088D">
        <w:t xml:space="preserve"> It is proposed to send LS to RAN1 about this RAN4 understanding of PRB alignment.</w:t>
      </w:r>
      <w:r w:rsidR="008001C1">
        <w:t xml:space="preserve"> If this is not supported yet in RAN1</w:t>
      </w:r>
      <w:r w:rsidR="00EB5FAF">
        <w:t>/2</w:t>
      </w:r>
      <w:r w:rsidR="008001C1">
        <w:t>, RAN4 encourages RAN1</w:t>
      </w:r>
      <w:r w:rsidR="00EB5FAF">
        <w:t>/2</w:t>
      </w:r>
      <w:r w:rsidR="008001C1">
        <w:t xml:space="preserve"> to specify it in relevant specs.</w:t>
      </w:r>
    </w:p>
    <w:bookmarkEnd w:id="0"/>
    <w:p w:rsidR="0043450E" w:rsidRDefault="0043450E" w:rsidP="0043450E">
      <w:pPr>
        <w:pStyle w:val="Heading1"/>
      </w:pPr>
      <w:r>
        <w:t>3</w:t>
      </w:r>
      <w:r>
        <w:tab/>
        <w:t>Conclusion</w:t>
      </w:r>
    </w:p>
    <w:p w:rsidR="007C7728" w:rsidRDefault="0024064A" w:rsidP="0043450E">
      <w:r>
        <w:t>We discussed the subcarrier and resource block grid alignment in NR, for different subcarrier spacings. Simulations for edge cases were presented, to show that the subcarrier #0 alignment leads to significant MPR for non-reference subcarrier spacing for each channel bandwidth.</w:t>
      </w:r>
    </w:p>
    <w:p w:rsidR="0024064A" w:rsidRDefault="0024064A" w:rsidP="0024064A">
      <w:r>
        <w:t xml:space="preserve">It is recommended that out of the possible RB grid positions for non-reference SCS, the one that has the most symmetric guard bands is selected, and the position is fixed for MPR evaluations. This alignment will enable to transmit the edge RBs at maximum power for all subcarrier spacings – a criteria that was important in the spectrum utilization discussion. </w:t>
      </w:r>
    </w:p>
    <w:p w:rsidR="0075088D" w:rsidRDefault="00164BA3" w:rsidP="0024064A">
      <w:r w:rsidRPr="0075088D">
        <w:t>To</w:t>
      </w:r>
      <w:r w:rsidR="0075088D" w:rsidRPr="0075088D">
        <w:t xml:space="preserve"> achieve this, PRB</w:t>
      </w:r>
      <w:r>
        <w:t xml:space="preserve"> reference (such as PRB#0)</w:t>
      </w:r>
      <w:r w:rsidR="0075088D" w:rsidRPr="0075088D">
        <w:t xml:space="preserve"> </w:t>
      </w:r>
      <w:r w:rsidR="0075088D">
        <w:t xml:space="preserve">for each SCS </w:t>
      </w:r>
      <w:r w:rsidR="0075088D" w:rsidRPr="0075088D">
        <w:t xml:space="preserve">should start </w:t>
      </w:r>
      <w:r w:rsidR="0075088D">
        <w:t xml:space="preserve">independently </w:t>
      </w:r>
      <w:r w:rsidR="0075088D" w:rsidRPr="0075088D">
        <w:t xml:space="preserve">from anywhere </w:t>
      </w:r>
      <w:r w:rsidR="0075088D">
        <w:t xml:space="preserve">as far as SC#0 </w:t>
      </w:r>
      <w:r>
        <w:t>alignment</w:t>
      </w:r>
      <w:r w:rsidR="0075088D">
        <w:t xml:space="preserve"> in [1] is not violated</w:t>
      </w:r>
      <w:r w:rsidR="0075088D" w:rsidRPr="0075088D">
        <w:t>.</w:t>
      </w:r>
      <w:r w:rsidR="0075088D">
        <w:t xml:space="preserve"> It is proposed to send LS to RAN1 about this RAN4 understanding of PRB alignment.</w:t>
      </w:r>
      <w:r w:rsidR="008001C1">
        <w:t xml:space="preserve"> If this is not supported yet in RAN1</w:t>
      </w:r>
      <w:r w:rsidR="00EB5FAF">
        <w:t>/2</w:t>
      </w:r>
      <w:r w:rsidR="008001C1">
        <w:t>, RAN4 encourages RAN1</w:t>
      </w:r>
      <w:r w:rsidR="00EB5FAF">
        <w:t>/2</w:t>
      </w:r>
      <w:r w:rsidR="008001C1">
        <w:t xml:space="preserve"> to specify it in relevant specs.</w:t>
      </w:r>
    </w:p>
    <w:p w:rsidR="00EB5FAF" w:rsidRDefault="00EB5FAF" w:rsidP="0024064A">
      <w:r>
        <w:t xml:space="preserve">In summary, </w:t>
      </w:r>
    </w:p>
    <w:p w:rsidR="00602E35" w:rsidRPr="00BE22CD" w:rsidRDefault="00602E35" w:rsidP="0024064A">
      <w:pPr>
        <w:rPr>
          <w:b/>
          <w:i/>
        </w:rPr>
      </w:pPr>
      <w:r w:rsidRPr="00BE22CD">
        <w:rPr>
          <w:b/>
          <w:i/>
        </w:rPr>
        <w:lastRenderedPageBreak/>
        <w:t>Observation 1: RAN4 is already using the PRB grid</w:t>
      </w:r>
      <w:r w:rsidR="00EB5FAF" w:rsidRPr="00BE22CD">
        <w:rPr>
          <w:b/>
          <w:i/>
        </w:rPr>
        <w:t xml:space="preserve"> for MPR simulations</w:t>
      </w:r>
      <w:r w:rsidRPr="00BE22CD">
        <w:rPr>
          <w:b/>
          <w:i/>
        </w:rPr>
        <w:t xml:space="preserve"> </w:t>
      </w:r>
      <w:r w:rsidR="00D96277" w:rsidRPr="00BE22CD">
        <w:rPr>
          <w:b/>
          <w:i/>
        </w:rPr>
        <w:t xml:space="preserve">as symmetric as possible </w:t>
      </w:r>
      <w:r w:rsidRPr="00BE22CD">
        <w:rPr>
          <w:b/>
          <w:i/>
        </w:rPr>
        <w:t xml:space="preserve">only assuming SC#0 alignement </w:t>
      </w:r>
      <w:r w:rsidR="00EB5FAF" w:rsidRPr="00BE22CD">
        <w:rPr>
          <w:b/>
          <w:i/>
        </w:rPr>
        <w:t xml:space="preserve">without considering which </w:t>
      </w:r>
      <w:r w:rsidR="00CB0C7B" w:rsidRPr="00BE22CD">
        <w:rPr>
          <w:b/>
          <w:i/>
        </w:rPr>
        <w:t>PRB should be aligned for different SCS</w:t>
      </w:r>
      <w:r w:rsidRPr="00BE22CD">
        <w:rPr>
          <w:b/>
          <w:i/>
        </w:rPr>
        <w:t>.</w:t>
      </w:r>
    </w:p>
    <w:p w:rsidR="00602E35" w:rsidRPr="00BE22CD" w:rsidRDefault="00602E35" w:rsidP="0024064A">
      <w:pPr>
        <w:rPr>
          <w:b/>
          <w:i/>
        </w:rPr>
      </w:pPr>
      <w:r w:rsidRPr="00BE22CD">
        <w:rPr>
          <w:b/>
          <w:i/>
        </w:rPr>
        <w:t xml:space="preserve">Proposal 1: </w:t>
      </w:r>
      <w:r w:rsidR="00EB5FAF" w:rsidRPr="00BE22CD">
        <w:rPr>
          <w:b/>
          <w:i/>
        </w:rPr>
        <w:t xml:space="preserve">PRB grid reference is independent for each SCS as far as SC#0 alignemnet </w:t>
      </w:r>
      <w:r w:rsidR="00111624" w:rsidRPr="00BE22CD">
        <w:rPr>
          <w:b/>
          <w:i/>
        </w:rPr>
        <w:t>in</w:t>
      </w:r>
      <w:r w:rsidR="00EB5FAF" w:rsidRPr="00BE22CD">
        <w:rPr>
          <w:b/>
          <w:i/>
        </w:rPr>
        <w:t xml:space="preserve"> RAN1 LS is not violated.</w:t>
      </w:r>
    </w:p>
    <w:p w:rsidR="00602E35" w:rsidRPr="00BE22CD" w:rsidRDefault="00602E35" w:rsidP="0024064A">
      <w:pPr>
        <w:rPr>
          <w:b/>
          <w:i/>
        </w:rPr>
      </w:pPr>
      <w:r w:rsidRPr="00BE22CD">
        <w:rPr>
          <w:b/>
          <w:i/>
        </w:rPr>
        <w:t xml:space="preserve">Proposal </w:t>
      </w:r>
      <w:r w:rsidR="00EB5FAF" w:rsidRPr="00BE22CD">
        <w:rPr>
          <w:b/>
          <w:i/>
        </w:rPr>
        <w:t xml:space="preserve">2: Send LS to RAN1/2 to implement Proposal 1 in RAN1/2 spec if </w:t>
      </w:r>
      <w:r w:rsidR="0087712A" w:rsidRPr="00BE22CD">
        <w:rPr>
          <w:b/>
          <w:i/>
        </w:rPr>
        <w:t xml:space="preserve">it is </w:t>
      </w:r>
      <w:r w:rsidR="00EB5FAF" w:rsidRPr="00BE22CD">
        <w:rPr>
          <w:b/>
          <w:i/>
        </w:rPr>
        <w:t>not done yet.</w:t>
      </w:r>
    </w:p>
    <w:p w:rsidR="0043450E" w:rsidRDefault="0043450E" w:rsidP="0043450E">
      <w:pPr>
        <w:pStyle w:val="Heading1"/>
      </w:pPr>
      <w:r>
        <w:t>4</w:t>
      </w:r>
      <w:r>
        <w:tab/>
        <w:t>References</w:t>
      </w:r>
    </w:p>
    <w:p w:rsidR="00D830E6" w:rsidRDefault="00D830E6" w:rsidP="00D830E6">
      <w:r>
        <w:t>[1]</w:t>
      </w:r>
      <w:r>
        <w:tab/>
        <w:t>R4-1707599</w:t>
      </w:r>
      <w:r>
        <w:tab/>
        <w:t>Sub-carrier and resource block alignment in NR, Nokia, Alcatel-Lucent Shanghai Bell, Skyworks Solutions, Inc.</w:t>
      </w:r>
    </w:p>
    <w:p w:rsidR="00D830E6" w:rsidRDefault="00D830E6" w:rsidP="00D830E6">
      <w:r>
        <w:t>[2] R1-1706756/ R4-1704310</w:t>
      </w:r>
      <w:r>
        <w:tab/>
        <w:t>LS on subcarrier grid in NR</w:t>
      </w:r>
    </w:p>
    <w:p w:rsidR="00D830E6" w:rsidRDefault="00D830E6" w:rsidP="00D830E6">
      <w:r>
        <w:t>[3]</w:t>
      </w:r>
      <w:r>
        <w:tab/>
        <w:t>R1-1712050</w:t>
      </w:r>
      <w:r>
        <w:tab/>
        <w:t>LS response on spectrum utilization</w:t>
      </w:r>
    </w:p>
    <w:p w:rsidR="00D830E6" w:rsidRDefault="00D830E6" w:rsidP="00D830E6">
      <w:r>
        <w:t>[4]</w:t>
      </w:r>
      <w:r>
        <w:tab/>
        <w:t>R4-1706974</w:t>
      </w:r>
      <w:r>
        <w:tab/>
        <w:t>LS on spectrum utilization</w:t>
      </w:r>
    </w:p>
    <w:p w:rsidR="00D830E6" w:rsidRPr="00D830E6" w:rsidRDefault="00D830E6" w:rsidP="0075088D">
      <w:r>
        <w:t>[</w:t>
      </w:r>
      <w:r w:rsidR="0075088D">
        <w:t>5</w:t>
      </w:r>
      <w:r>
        <w:t>]</w:t>
      </w:r>
      <w:r>
        <w:tab/>
      </w:r>
      <w:r w:rsidR="0075088D">
        <w:t>R4-171</w:t>
      </w:r>
      <w:r w:rsidR="002D68EA">
        <w:t>1377</w:t>
      </w:r>
      <w:r w:rsidR="0075088D">
        <w:tab/>
      </w:r>
      <w:bookmarkStart w:id="1" w:name="_GoBack"/>
      <w:bookmarkEnd w:id="1"/>
      <w:r w:rsidR="00C00B1F">
        <w:t xml:space="preserve">draft </w:t>
      </w:r>
      <w:r w:rsidR="0075088D">
        <w:t>LS on RB alignment</w:t>
      </w:r>
    </w:p>
    <w:sectPr w:rsidR="00D830E6" w:rsidRPr="00D830E6">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56F" w:rsidRDefault="0007256F" w:rsidP="002B3503">
      <w:pPr>
        <w:spacing w:after="0"/>
      </w:pPr>
      <w:r>
        <w:separator/>
      </w:r>
    </w:p>
  </w:endnote>
  <w:endnote w:type="continuationSeparator" w:id="0">
    <w:p w:rsidR="0007256F" w:rsidRDefault="0007256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56F" w:rsidRDefault="0007256F" w:rsidP="002B3503">
      <w:pPr>
        <w:spacing w:after="0"/>
      </w:pPr>
      <w:r>
        <w:separator/>
      </w:r>
    </w:p>
  </w:footnote>
  <w:footnote w:type="continuationSeparator" w:id="0">
    <w:p w:rsidR="0007256F" w:rsidRDefault="0007256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251B6"/>
    <w:rsid w:val="0007256F"/>
    <w:rsid w:val="000F3495"/>
    <w:rsid w:val="001066DB"/>
    <w:rsid w:val="00111624"/>
    <w:rsid w:val="00134C10"/>
    <w:rsid w:val="00164BA3"/>
    <w:rsid w:val="001704E2"/>
    <w:rsid w:val="00186C54"/>
    <w:rsid w:val="0019249B"/>
    <w:rsid w:val="00221D66"/>
    <w:rsid w:val="0024064A"/>
    <w:rsid w:val="002A7181"/>
    <w:rsid w:val="002B3503"/>
    <w:rsid w:val="002B6B05"/>
    <w:rsid w:val="002D5C7E"/>
    <w:rsid w:val="002D68EA"/>
    <w:rsid w:val="00342C25"/>
    <w:rsid w:val="00345EFB"/>
    <w:rsid w:val="00385A53"/>
    <w:rsid w:val="003D2C86"/>
    <w:rsid w:val="0043450E"/>
    <w:rsid w:val="004D0585"/>
    <w:rsid w:val="004D3D81"/>
    <w:rsid w:val="00553823"/>
    <w:rsid w:val="005615B3"/>
    <w:rsid w:val="00571803"/>
    <w:rsid w:val="00602E35"/>
    <w:rsid w:val="00604A73"/>
    <w:rsid w:val="00644EC2"/>
    <w:rsid w:val="0067699B"/>
    <w:rsid w:val="006B5E38"/>
    <w:rsid w:val="006C6840"/>
    <w:rsid w:val="006F79FD"/>
    <w:rsid w:val="007270B8"/>
    <w:rsid w:val="0075088D"/>
    <w:rsid w:val="00773ADB"/>
    <w:rsid w:val="007C7728"/>
    <w:rsid w:val="008001C1"/>
    <w:rsid w:val="0080750A"/>
    <w:rsid w:val="0087712A"/>
    <w:rsid w:val="008A4493"/>
    <w:rsid w:val="008C63D8"/>
    <w:rsid w:val="008E687D"/>
    <w:rsid w:val="00940559"/>
    <w:rsid w:val="00991F90"/>
    <w:rsid w:val="00A451E8"/>
    <w:rsid w:val="00A82ECA"/>
    <w:rsid w:val="00AF2233"/>
    <w:rsid w:val="00B34B7A"/>
    <w:rsid w:val="00B55BFC"/>
    <w:rsid w:val="00B55E83"/>
    <w:rsid w:val="00BB14DE"/>
    <w:rsid w:val="00BC482A"/>
    <w:rsid w:val="00BC764C"/>
    <w:rsid w:val="00BE22CD"/>
    <w:rsid w:val="00C00B1F"/>
    <w:rsid w:val="00C12E87"/>
    <w:rsid w:val="00C37DF4"/>
    <w:rsid w:val="00C45FCA"/>
    <w:rsid w:val="00C67A20"/>
    <w:rsid w:val="00C67C9C"/>
    <w:rsid w:val="00C95DDD"/>
    <w:rsid w:val="00CB0C7B"/>
    <w:rsid w:val="00D06AD4"/>
    <w:rsid w:val="00D273B2"/>
    <w:rsid w:val="00D57DA9"/>
    <w:rsid w:val="00D74EE9"/>
    <w:rsid w:val="00D830E6"/>
    <w:rsid w:val="00D96277"/>
    <w:rsid w:val="00DC2D27"/>
    <w:rsid w:val="00DE725F"/>
    <w:rsid w:val="00E008DD"/>
    <w:rsid w:val="00E46AD9"/>
    <w:rsid w:val="00E95E3D"/>
    <w:rsid w:val="00EB5FAF"/>
    <w:rsid w:val="00EC6AA8"/>
    <w:rsid w:val="00F0276C"/>
    <w:rsid w:val="00F34F90"/>
    <w:rsid w:val="00FA78FE"/>
    <w:rsid w:val="00FF7AA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CC32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2C2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342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42C25"/>
    <w:pPr>
      <w:pBdr>
        <w:top w:val="none" w:sz="0" w:space="0" w:color="auto"/>
      </w:pBdr>
      <w:spacing w:before="180"/>
      <w:outlineLvl w:val="1"/>
    </w:pPr>
    <w:rPr>
      <w:sz w:val="32"/>
    </w:rPr>
  </w:style>
  <w:style w:type="paragraph" w:styleId="Heading3">
    <w:name w:val="heading 3"/>
    <w:basedOn w:val="Heading2"/>
    <w:next w:val="Normal"/>
    <w:qFormat/>
    <w:rsid w:val="00342C25"/>
    <w:pPr>
      <w:spacing w:before="120"/>
      <w:outlineLvl w:val="2"/>
    </w:pPr>
    <w:rPr>
      <w:sz w:val="28"/>
    </w:rPr>
  </w:style>
  <w:style w:type="paragraph" w:styleId="Heading4">
    <w:name w:val="heading 4"/>
    <w:basedOn w:val="Heading3"/>
    <w:next w:val="Normal"/>
    <w:qFormat/>
    <w:rsid w:val="00342C25"/>
    <w:pPr>
      <w:ind w:left="1418" w:hanging="1418"/>
      <w:outlineLvl w:val="3"/>
    </w:pPr>
    <w:rPr>
      <w:sz w:val="24"/>
    </w:rPr>
  </w:style>
  <w:style w:type="paragraph" w:styleId="Heading5">
    <w:name w:val="heading 5"/>
    <w:basedOn w:val="Heading4"/>
    <w:next w:val="Normal"/>
    <w:qFormat/>
    <w:rsid w:val="00342C25"/>
    <w:pPr>
      <w:ind w:left="1701" w:hanging="1701"/>
      <w:outlineLvl w:val="4"/>
    </w:pPr>
    <w:rPr>
      <w:sz w:val="22"/>
    </w:rPr>
  </w:style>
  <w:style w:type="paragraph" w:styleId="Heading6">
    <w:name w:val="heading 6"/>
    <w:basedOn w:val="H6"/>
    <w:next w:val="Normal"/>
    <w:qFormat/>
    <w:rsid w:val="00342C25"/>
    <w:pPr>
      <w:outlineLvl w:val="5"/>
    </w:pPr>
  </w:style>
  <w:style w:type="paragraph" w:styleId="Heading7">
    <w:name w:val="heading 7"/>
    <w:basedOn w:val="H6"/>
    <w:next w:val="Normal"/>
    <w:qFormat/>
    <w:rsid w:val="00342C25"/>
    <w:pPr>
      <w:outlineLvl w:val="6"/>
    </w:pPr>
  </w:style>
  <w:style w:type="paragraph" w:styleId="Heading8">
    <w:name w:val="heading 8"/>
    <w:basedOn w:val="Heading1"/>
    <w:next w:val="Normal"/>
    <w:qFormat/>
    <w:rsid w:val="00342C25"/>
    <w:pPr>
      <w:ind w:left="0" w:firstLine="0"/>
      <w:outlineLvl w:val="7"/>
    </w:pPr>
  </w:style>
  <w:style w:type="paragraph" w:styleId="Heading9">
    <w:name w:val="heading 9"/>
    <w:basedOn w:val="Heading8"/>
    <w:next w:val="Normal"/>
    <w:qFormat/>
    <w:rsid w:val="00342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2C25"/>
    <w:pPr>
      <w:spacing w:before="180"/>
      <w:ind w:left="2693" w:hanging="2693"/>
    </w:pPr>
    <w:rPr>
      <w:b/>
    </w:rPr>
  </w:style>
  <w:style w:type="paragraph" w:styleId="TOC1">
    <w:name w:val="toc 1"/>
    <w:semiHidden/>
    <w:rsid w:val="00342C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2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42C25"/>
    <w:pPr>
      <w:ind w:left="1701" w:hanging="1701"/>
    </w:pPr>
  </w:style>
  <w:style w:type="paragraph" w:styleId="TOC4">
    <w:name w:val="toc 4"/>
    <w:basedOn w:val="TOC3"/>
    <w:semiHidden/>
    <w:rsid w:val="00342C25"/>
    <w:pPr>
      <w:ind w:left="1418" w:hanging="1418"/>
    </w:pPr>
  </w:style>
  <w:style w:type="paragraph" w:styleId="TOC3">
    <w:name w:val="toc 3"/>
    <w:basedOn w:val="TOC2"/>
    <w:semiHidden/>
    <w:rsid w:val="00342C25"/>
    <w:pPr>
      <w:ind w:left="1134" w:hanging="1134"/>
    </w:pPr>
  </w:style>
  <w:style w:type="paragraph" w:styleId="TOC2">
    <w:name w:val="toc 2"/>
    <w:basedOn w:val="TOC1"/>
    <w:semiHidden/>
    <w:rsid w:val="00342C25"/>
    <w:pPr>
      <w:keepNext w:val="0"/>
      <w:spacing w:before="0"/>
      <w:ind w:left="851" w:hanging="851"/>
    </w:pPr>
    <w:rPr>
      <w:sz w:val="20"/>
    </w:rPr>
  </w:style>
  <w:style w:type="paragraph" w:styleId="Index2">
    <w:name w:val="index 2"/>
    <w:basedOn w:val="Index1"/>
    <w:semiHidden/>
    <w:rsid w:val="00342C25"/>
    <w:pPr>
      <w:ind w:left="284"/>
    </w:pPr>
  </w:style>
  <w:style w:type="paragraph" w:styleId="Index1">
    <w:name w:val="index 1"/>
    <w:basedOn w:val="Normal"/>
    <w:semiHidden/>
    <w:rsid w:val="00342C25"/>
    <w:pPr>
      <w:keepLines/>
      <w:spacing w:after="0"/>
    </w:pPr>
  </w:style>
  <w:style w:type="paragraph" w:customStyle="1" w:styleId="ZH">
    <w:name w:val="ZH"/>
    <w:rsid w:val="00342C2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42C25"/>
    <w:pPr>
      <w:outlineLvl w:val="9"/>
    </w:pPr>
  </w:style>
  <w:style w:type="paragraph" w:styleId="ListNumber2">
    <w:name w:val="List Number 2"/>
    <w:basedOn w:val="ListNumber"/>
    <w:semiHidden/>
    <w:rsid w:val="00342C25"/>
    <w:pPr>
      <w:ind w:left="851"/>
    </w:pPr>
  </w:style>
  <w:style w:type="paragraph" w:styleId="Header">
    <w:name w:val="header"/>
    <w:semiHidden/>
    <w:rsid w:val="00342C2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42C25"/>
    <w:rPr>
      <w:b/>
      <w:position w:val="6"/>
      <w:sz w:val="16"/>
    </w:rPr>
  </w:style>
  <w:style w:type="paragraph" w:styleId="FootnoteText">
    <w:name w:val="footnote text"/>
    <w:basedOn w:val="Normal"/>
    <w:semiHidden/>
    <w:rsid w:val="00342C25"/>
    <w:pPr>
      <w:keepLines/>
      <w:spacing w:after="0"/>
      <w:ind w:left="454" w:hanging="454"/>
    </w:pPr>
    <w:rPr>
      <w:sz w:val="16"/>
    </w:rPr>
  </w:style>
  <w:style w:type="paragraph" w:customStyle="1" w:styleId="TAH">
    <w:name w:val="TAH"/>
    <w:basedOn w:val="TAC"/>
    <w:rsid w:val="00342C25"/>
    <w:rPr>
      <w:b/>
    </w:rPr>
  </w:style>
  <w:style w:type="paragraph" w:customStyle="1" w:styleId="TAC">
    <w:name w:val="TAC"/>
    <w:basedOn w:val="TAL"/>
    <w:rsid w:val="00342C25"/>
    <w:pPr>
      <w:jc w:val="center"/>
    </w:pPr>
  </w:style>
  <w:style w:type="paragraph" w:customStyle="1" w:styleId="TF">
    <w:name w:val="TF"/>
    <w:basedOn w:val="TH"/>
    <w:rsid w:val="00342C25"/>
    <w:pPr>
      <w:keepNext w:val="0"/>
      <w:spacing w:before="0" w:after="240"/>
    </w:pPr>
  </w:style>
  <w:style w:type="paragraph" w:customStyle="1" w:styleId="NO">
    <w:name w:val="NO"/>
    <w:basedOn w:val="Normal"/>
    <w:rsid w:val="00342C25"/>
    <w:pPr>
      <w:keepLines/>
      <w:ind w:left="1135" w:hanging="851"/>
    </w:pPr>
  </w:style>
  <w:style w:type="paragraph" w:styleId="TOC9">
    <w:name w:val="toc 9"/>
    <w:basedOn w:val="TOC8"/>
    <w:semiHidden/>
    <w:rsid w:val="00342C25"/>
    <w:pPr>
      <w:ind w:left="1418" w:hanging="1418"/>
    </w:pPr>
  </w:style>
  <w:style w:type="paragraph" w:customStyle="1" w:styleId="EX">
    <w:name w:val="EX"/>
    <w:basedOn w:val="Normal"/>
    <w:rsid w:val="00342C25"/>
    <w:pPr>
      <w:keepLines/>
      <w:ind w:left="1702" w:hanging="1418"/>
    </w:pPr>
  </w:style>
  <w:style w:type="paragraph" w:customStyle="1" w:styleId="FP">
    <w:name w:val="FP"/>
    <w:basedOn w:val="Normal"/>
    <w:rsid w:val="00342C25"/>
    <w:pPr>
      <w:spacing w:after="0"/>
    </w:pPr>
  </w:style>
  <w:style w:type="paragraph" w:customStyle="1" w:styleId="LD">
    <w:name w:val="LD"/>
    <w:rsid w:val="00342C2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2C25"/>
    <w:pPr>
      <w:spacing w:after="0"/>
    </w:pPr>
  </w:style>
  <w:style w:type="paragraph" w:customStyle="1" w:styleId="EW">
    <w:name w:val="EW"/>
    <w:basedOn w:val="EX"/>
    <w:rsid w:val="00342C25"/>
    <w:pPr>
      <w:spacing w:after="0"/>
    </w:pPr>
  </w:style>
  <w:style w:type="paragraph" w:styleId="TOC6">
    <w:name w:val="toc 6"/>
    <w:basedOn w:val="TOC5"/>
    <w:next w:val="Normal"/>
    <w:semiHidden/>
    <w:rsid w:val="00342C25"/>
    <w:pPr>
      <w:ind w:left="1985" w:hanging="1985"/>
    </w:pPr>
  </w:style>
  <w:style w:type="paragraph" w:styleId="TOC7">
    <w:name w:val="toc 7"/>
    <w:basedOn w:val="TOC6"/>
    <w:next w:val="Normal"/>
    <w:semiHidden/>
    <w:rsid w:val="00342C25"/>
    <w:pPr>
      <w:ind w:left="2268" w:hanging="2268"/>
    </w:pPr>
  </w:style>
  <w:style w:type="paragraph" w:styleId="ListBullet2">
    <w:name w:val="List Bullet 2"/>
    <w:basedOn w:val="ListBullet"/>
    <w:semiHidden/>
    <w:rsid w:val="00342C25"/>
    <w:pPr>
      <w:ind w:left="851"/>
    </w:pPr>
  </w:style>
  <w:style w:type="paragraph" w:styleId="ListBullet3">
    <w:name w:val="List Bullet 3"/>
    <w:basedOn w:val="ListBullet2"/>
    <w:semiHidden/>
    <w:rsid w:val="00342C25"/>
    <w:pPr>
      <w:ind w:left="1135"/>
    </w:pPr>
  </w:style>
  <w:style w:type="paragraph" w:styleId="ListNumber">
    <w:name w:val="List Number"/>
    <w:basedOn w:val="List"/>
    <w:semiHidden/>
    <w:rsid w:val="00342C25"/>
  </w:style>
  <w:style w:type="paragraph" w:customStyle="1" w:styleId="EQ">
    <w:name w:val="EQ"/>
    <w:basedOn w:val="Normal"/>
    <w:next w:val="Normal"/>
    <w:rsid w:val="00342C25"/>
    <w:pPr>
      <w:keepLines/>
      <w:tabs>
        <w:tab w:val="center" w:pos="4536"/>
        <w:tab w:val="right" w:pos="9072"/>
      </w:tabs>
    </w:pPr>
    <w:rPr>
      <w:noProof/>
    </w:rPr>
  </w:style>
  <w:style w:type="paragraph" w:customStyle="1" w:styleId="TH">
    <w:name w:val="TH"/>
    <w:basedOn w:val="Normal"/>
    <w:rsid w:val="00342C25"/>
    <w:pPr>
      <w:keepNext/>
      <w:keepLines/>
      <w:spacing w:before="60"/>
      <w:jc w:val="center"/>
    </w:pPr>
    <w:rPr>
      <w:rFonts w:ascii="Arial" w:hAnsi="Arial"/>
      <w:b/>
    </w:rPr>
  </w:style>
  <w:style w:type="paragraph" w:customStyle="1" w:styleId="NF">
    <w:name w:val="NF"/>
    <w:basedOn w:val="NO"/>
    <w:rsid w:val="00342C25"/>
    <w:pPr>
      <w:keepNext/>
      <w:spacing w:after="0"/>
    </w:pPr>
    <w:rPr>
      <w:rFonts w:ascii="Arial" w:hAnsi="Arial"/>
      <w:sz w:val="18"/>
    </w:rPr>
  </w:style>
  <w:style w:type="paragraph" w:customStyle="1" w:styleId="PL">
    <w:name w:val="PL"/>
    <w:rsid w:val="00342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2C25"/>
    <w:pPr>
      <w:jc w:val="right"/>
    </w:pPr>
  </w:style>
  <w:style w:type="paragraph" w:customStyle="1" w:styleId="H6">
    <w:name w:val="H6"/>
    <w:basedOn w:val="Heading5"/>
    <w:next w:val="Normal"/>
    <w:rsid w:val="00342C25"/>
    <w:pPr>
      <w:ind w:left="1985" w:hanging="1985"/>
      <w:outlineLvl w:val="9"/>
    </w:pPr>
    <w:rPr>
      <w:sz w:val="20"/>
    </w:rPr>
  </w:style>
  <w:style w:type="paragraph" w:customStyle="1" w:styleId="TAN">
    <w:name w:val="TAN"/>
    <w:basedOn w:val="TAL"/>
    <w:rsid w:val="00342C25"/>
    <w:pPr>
      <w:ind w:left="851" w:hanging="851"/>
    </w:pPr>
  </w:style>
  <w:style w:type="paragraph" w:customStyle="1" w:styleId="TAL">
    <w:name w:val="TAL"/>
    <w:basedOn w:val="Normal"/>
    <w:rsid w:val="00342C25"/>
    <w:pPr>
      <w:keepNext/>
      <w:keepLines/>
      <w:spacing w:after="0"/>
    </w:pPr>
    <w:rPr>
      <w:rFonts w:ascii="Arial" w:hAnsi="Arial"/>
      <w:sz w:val="18"/>
    </w:rPr>
  </w:style>
  <w:style w:type="paragraph" w:customStyle="1" w:styleId="ZA">
    <w:name w:val="ZA"/>
    <w:rsid w:val="00342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2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2C2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2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2C25"/>
    <w:pPr>
      <w:framePr w:wrap="notBeside" w:y="16161"/>
    </w:pPr>
  </w:style>
  <w:style w:type="character" w:customStyle="1" w:styleId="ZGSM">
    <w:name w:val="ZGSM"/>
    <w:rsid w:val="00342C25"/>
  </w:style>
  <w:style w:type="paragraph" w:styleId="List2">
    <w:name w:val="List 2"/>
    <w:basedOn w:val="List"/>
    <w:semiHidden/>
    <w:rsid w:val="00342C25"/>
    <w:pPr>
      <w:ind w:left="851"/>
    </w:pPr>
  </w:style>
  <w:style w:type="paragraph" w:customStyle="1" w:styleId="ZG">
    <w:name w:val="ZG"/>
    <w:rsid w:val="00342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342C25"/>
    <w:pPr>
      <w:ind w:left="1135"/>
    </w:pPr>
  </w:style>
  <w:style w:type="paragraph" w:styleId="List4">
    <w:name w:val="List 4"/>
    <w:basedOn w:val="List3"/>
    <w:semiHidden/>
    <w:rsid w:val="00342C25"/>
    <w:pPr>
      <w:ind w:left="1418"/>
    </w:pPr>
  </w:style>
  <w:style w:type="paragraph" w:styleId="List5">
    <w:name w:val="List 5"/>
    <w:basedOn w:val="List4"/>
    <w:semiHidden/>
    <w:rsid w:val="00342C25"/>
    <w:pPr>
      <w:ind w:left="1702"/>
    </w:pPr>
  </w:style>
  <w:style w:type="paragraph" w:customStyle="1" w:styleId="EditorsNote">
    <w:name w:val="Editor's Note"/>
    <w:basedOn w:val="NO"/>
    <w:rsid w:val="00342C25"/>
    <w:rPr>
      <w:color w:val="FF0000"/>
    </w:rPr>
  </w:style>
  <w:style w:type="paragraph" w:styleId="List">
    <w:name w:val="List"/>
    <w:basedOn w:val="Normal"/>
    <w:semiHidden/>
    <w:rsid w:val="00342C25"/>
    <w:pPr>
      <w:ind w:left="568" w:hanging="284"/>
    </w:pPr>
  </w:style>
  <w:style w:type="paragraph" w:styleId="ListBullet">
    <w:name w:val="List Bullet"/>
    <w:basedOn w:val="List"/>
    <w:semiHidden/>
    <w:rsid w:val="00342C25"/>
  </w:style>
  <w:style w:type="paragraph" w:styleId="ListBullet4">
    <w:name w:val="List Bullet 4"/>
    <w:basedOn w:val="ListBullet3"/>
    <w:semiHidden/>
    <w:rsid w:val="00342C25"/>
    <w:pPr>
      <w:ind w:left="1418"/>
    </w:pPr>
  </w:style>
  <w:style w:type="paragraph" w:styleId="ListBullet5">
    <w:name w:val="List Bullet 5"/>
    <w:basedOn w:val="ListBullet4"/>
    <w:semiHidden/>
    <w:rsid w:val="00342C25"/>
    <w:pPr>
      <w:ind w:left="1702"/>
    </w:pPr>
  </w:style>
  <w:style w:type="paragraph" w:customStyle="1" w:styleId="B1">
    <w:name w:val="B1"/>
    <w:basedOn w:val="List"/>
    <w:rsid w:val="00342C25"/>
  </w:style>
  <w:style w:type="paragraph" w:customStyle="1" w:styleId="B2">
    <w:name w:val="B2"/>
    <w:basedOn w:val="List2"/>
    <w:rsid w:val="00342C25"/>
  </w:style>
  <w:style w:type="paragraph" w:customStyle="1" w:styleId="B3">
    <w:name w:val="B3"/>
    <w:basedOn w:val="List3"/>
    <w:rsid w:val="00342C25"/>
  </w:style>
  <w:style w:type="paragraph" w:customStyle="1" w:styleId="B4">
    <w:name w:val="B4"/>
    <w:basedOn w:val="List4"/>
    <w:rsid w:val="00342C25"/>
  </w:style>
  <w:style w:type="paragraph" w:customStyle="1" w:styleId="B5">
    <w:name w:val="B5"/>
    <w:basedOn w:val="List5"/>
    <w:rsid w:val="00342C25"/>
  </w:style>
  <w:style w:type="paragraph" w:styleId="Footer">
    <w:name w:val="footer"/>
    <w:basedOn w:val="Header"/>
    <w:semiHidden/>
    <w:rsid w:val="00342C25"/>
    <w:pPr>
      <w:jc w:val="center"/>
    </w:pPr>
    <w:rPr>
      <w:i/>
    </w:rPr>
  </w:style>
  <w:style w:type="paragraph" w:customStyle="1" w:styleId="ZTD">
    <w:name w:val="ZTD"/>
    <w:basedOn w:val="ZB"/>
    <w:rsid w:val="00342C2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BalloonText">
    <w:name w:val="Balloon Text"/>
    <w:basedOn w:val="Normal"/>
    <w:link w:val="BalloonTextChar"/>
    <w:uiPriority w:val="99"/>
    <w:semiHidden/>
    <w:unhideWhenUsed/>
    <w:rsid w:val="006769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699B"/>
    <w:rPr>
      <w:rFonts w:ascii="Segoe UI" w:hAnsi="Segoe UI" w:cs="Segoe UI"/>
      <w:sz w:val="18"/>
      <w:szCs w:val="18"/>
      <w:lang w:val="en-GB" w:eastAsia="en-US"/>
    </w:rPr>
  </w:style>
  <w:style w:type="character" w:styleId="CommentReference">
    <w:name w:val="annotation reference"/>
    <w:basedOn w:val="DefaultParagraphFont"/>
    <w:uiPriority w:val="99"/>
    <w:semiHidden/>
    <w:unhideWhenUsed/>
    <w:rsid w:val="0067699B"/>
    <w:rPr>
      <w:sz w:val="16"/>
      <w:szCs w:val="16"/>
    </w:rPr>
  </w:style>
  <w:style w:type="paragraph" w:styleId="CommentText">
    <w:name w:val="annotation text"/>
    <w:basedOn w:val="Normal"/>
    <w:link w:val="CommentTextChar"/>
    <w:uiPriority w:val="99"/>
    <w:semiHidden/>
    <w:unhideWhenUsed/>
    <w:rsid w:val="0067699B"/>
  </w:style>
  <w:style w:type="character" w:customStyle="1" w:styleId="CommentTextChar">
    <w:name w:val="Comment Text Char"/>
    <w:basedOn w:val="DefaultParagraphFont"/>
    <w:link w:val="CommentText"/>
    <w:uiPriority w:val="99"/>
    <w:semiHidden/>
    <w:rsid w:val="0067699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7699B"/>
    <w:rPr>
      <w:b/>
      <w:bCs/>
    </w:rPr>
  </w:style>
  <w:style w:type="character" w:customStyle="1" w:styleId="CommentSubjectChar">
    <w:name w:val="Comment Subject Char"/>
    <w:basedOn w:val="CommentTextChar"/>
    <w:link w:val="CommentSubject"/>
    <w:uiPriority w:val="99"/>
    <w:semiHidden/>
    <w:rsid w:val="0067699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8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Microsoft_Visio_2003-2010_Drawing2.vsd"/><Relationship Id="rId5" Type="http://schemas.openxmlformats.org/officeDocument/2006/relationships/endnotes" Target="endnotes.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Hisashi Onozawa</cp:lastModifiedBy>
  <cp:revision>24</cp:revision>
  <cp:lastPrinted>1899-12-31T22:00:00Z</cp:lastPrinted>
  <dcterms:created xsi:type="dcterms:W3CDTF">2017-09-27T16:51:00Z</dcterms:created>
  <dcterms:modified xsi:type="dcterms:W3CDTF">2017-10-02T16:57:00Z</dcterms:modified>
</cp:coreProperties>
</file>